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5" w:rsidRPr="003235CE" w:rsidRDefault="006D3165" w:rsidP="006D316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3165" w:rsidRDefault="006D3165" w:rsidP="000C0B9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0C0B98" w:rsidRPr="003235CE" w:rsidRDefault="000C0B98" w:rsidP="000C0B9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235CE">
        <w:rPr>
          <w:rFonts w:ascii="Times New Roman" w:hAnsi="Times New Roman" w:cs="Times New Roman"/>
          <w:bCs/>
          <w:sz w:val="22"/>
          <w:szCs w:val="22"/>
        </w:rPr>
        <w:t>ПОКАЗАТЕЛИ</w:t>
      </w:r>
      <w:r w:rsidR="00A43DB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3DBC" w:rsidRPr="003235CE">
        <w:rPr>
          <w:rFonts w:ascii="Times New Roman" w:hAnsi="Times New Roman" w:cs="Times New Roman"/>
          <w:bCs/>
          <w:sz w:val="22"/>
          <w:szCs w:val="22"/>
        </w:rPr>
        <w:t>САМООБСЛЕДОВАНИ</w:t>
      </w:r>
      <w:r w:rsidR="00A43DBC">
        <w:rPr>
          <w:rFonts w:ascii="Times New Roman" w:hAnsi="Times New Roman" w:cs="Times New Roman"/>
          <w:bCs/>
          <w:sz w:val="22"/>
          <w:szCs w:val="22"/>
        </w:rPr>
        <w:t>Я</w:t>
      </w:r>
    </w:p>
    <w:p w:rsidR="0024274D" w:rsidRDefault="000C0B98" w:rsidP="000C0B9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235CE">
        <w:rPr>
          <w:rFonts w:ascii="Times New Roman" w:hAnsi="Times New Roman" w:cs="Times New Roman"/>
          <w:bCs/>
          <w:sz w:val="22"/>
          <w:szCs w:val="22"/>
        </w:rPr>
        <w:t>ДЕЯТЕЛЬНОСТИ ОБЩЕОБРАЗОВАТЕЛЬНОЙ ОРГАНИЗАЦИИ</w:t>
      </w:r>
      <w:r w:rsidR="0024274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274D">
        <w:rPr>
          <w:rFonts w:ascii="Times New Roman" w:hAnsi="Times New Roman" w:cs="Times New Roman"/>
          <w:bCs/>
          <w:sz w:val="22"/>
          <w:szCs w:val="22"/>
        </w:rPr>
        <w:tab/>
      </w:r>
    </w:p>
    <w:p w:rsidR="0024274D" w:rsidRDefault="0024274D" w:rsidP="000C0B9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МУНИЦИПАЛЬНОГО АВТОНОМНОГО ОБЩЕОБРАЗОВАТЕЛЬНОГО УЧРЕЖДЕНИЯ </w:t>
      </w:r>
    </w:p>
    <w:p w:rsidR="000C0B98" w:rsidRPr="003235CE" w:rsidRDefault="0024274D" w:rsidP="000C0B9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«ВИКУЛОВСКАЯ СРЕДНЯЯ ОБЩЕОБРАЗОВАТЕЛЬНАЯ ШКОЛА №1»</w:t>
      </w:r>
    </w:p>
    <w:p w:rsidR="006D3165" w:rsidRPr="003235CE" w:rsidRDefault="00753F4A" w:rsidP="000C0B9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за 201</w:t>
      </w:r>
      <w:r w:rsidR="004B0A97">
        <w:rPr>
          <w:rFonts w:ascii="Times New Roman" w:hAnsi="Times New Roman" w:cs="Times New Roman"/>
          <w:bCs/>
          <w:sz w:val="22"/>
          <w:szCs w:val="22"/>
        </w:rPr>
        <w:t>5-2016</w:t>
      </w:r>
      <w:r w:rsidR="006D3165">
        <w:rPr>
          <w:rFonts w:ascii="Times New Roman" w:hAnsi="Times New Roman" w:cs="Times New Roman"/>
          <w:bCs/>
          <w:sz w:val="22"/>
          <w:szCs w:val="22"/>
        </w:rPr>
        <w:t xml:space="preserve"> учебный год</w:t>
      </w:r>
    </w:p>
    <w:p w:rsidR="000C0B98" w:rsidRPr="003235CE" w:rsidRDefault="000C0B98" w:rsidP="000C0B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0C0B98" w:rsidRPr="00CB4516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CB4516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B451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CB4516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B451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CB4516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B451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Единица измерения</w:t>
            </w:r>
          </w:p>
        </w:tc>
      </w:tr>
      <w:tr w:rsidR="000C0B98" w:rsidRPr="00CB4516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CB4516" w:rsidRDefault="000C0B98" w:rsidP="000C0B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Par200"/>
            <w:bookmarkEnd w:id="0"/>
            <w:r w:rsidRPr="00CB4516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CB4516" w:rsidRDefault="000C0B98" w:rsidP="000C0B98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516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CB4516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9426D7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</w:t>
            </w:r>
            <w:r w:rsidR="00242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C320D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9056B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42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24274D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320D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C320D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242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0E5E3C" w:rsidRPr="003235CE" w:rsidTr="007C1066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C" w:rsidRPr="000E5E3C" w:rsidRDefault="000E5E3C" w:rsidP="00AB0BB7">
            <w:pPr>
              <w:jc w:val="center"/>
              <w:rPr>
                <w:b/>
                <w:bCs/>
                <w:sz w:val="24"/>
                <w:szCs w:val="32"/>
              </w:rPr>
            </w:pPr>
            <w:r w:rsidRPr="000E5E3C">
              <w:rPr>
                <w:b/>
                <w:bCs/>
                <w:sz w:val="24"/>
                <w:szCs w:val="32"/>
              </w:rPr>
              <w:t>Динамика  численности  учащихся.</w:t>
            </w:r>
          </w:p>
          <w:p w:rsidR="000E5E3C" w:rsidRDefault="000E5E3C" w:rsidP="00AB0BB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80150" cy="2497130"/>
                  <wp:effectExtent l="19050" t="0" r="15750" b="0"/>
                  <wp:docPr id="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0E5E3C" w:rsidRDefault="000E5E3C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8D6592" w:rsidP="005E4A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  <w:r w:rsidR="0024274D" w:rsidRPr="005E4A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5E4A40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50,5</w:t>
            </w:r>
            <w:r w:rsidR="000C0B98" w:rsidRPr="005E4A4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B0BB7" w:rsidRPr="003235CE" w:rsidTr="00FA06C9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7" w:rsidRPr="003739CD" w:rsidRDefault="00AB0BB7" w:rsidP="00AB0BB7">
            <w:pPr>
              <w:jc w:val="center"/>
              <w:rPr>
                <w:b/>
                <w:bCs/>
                <w:sz w:val="28"/>
                <w:szCs w:val="32"/>
              </w:rPr>
            </w:pPr>
            <w:r w:rsidRPr="003739CD">
              <w:rPr>
                <w:b/>
                <w:bCs/>
                <w:sz w:val="28"/>
                <w:szCs w:val="32"/>
              </w:rPr>
              <w:t>Успеваемость  учащихся.</w:t>
            </w:r>
          </w:p>
          <w:p w:rsidR="00AB0BB7" w:rsidRDefault="00AB0BB7" w:rsidP="00AB0BB7">
            <w:bookmarkStart w:id="1" w:name="_GoBack"/>
            <w:r>
              <w:rPr>
                <w:noProof/>
              </w:rPr>
              <w:drawing>
                <wp:inline distT="0" distB="0" distL="0" distR="0">
                  <wp:extent cx="5724000" cy="2005205"/>
                  <wp:effectExtent l="19050" t="0" r="1005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bookmarkEnd w:id="1"/>
          </w:p>
          <w:p w:rsidR="00AB0BB7" w:rsidRDefault="00AB0BB7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 xml:space="preserve">Средний балл государственной итоговой аттестации выпускников 9 </w:t>
            </w:r>
            <w:r w:rsidRPr="003235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Default="00BF55AB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28,73</w:t>
            </w:r>
            <w:r w:rsidR="002B46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балла</w:t>
            </w:r>
          </w:p>
          <w:p w:rsidR="00BF55AB" w:rsidRPr="003235CE" w:rsidRDefault="00BF55AB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8D6592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  <w:r w:rsidR="002B46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  <w:r w:rsidR="00BF55AB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B84AFA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AB1A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2B46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  <w:r w:rsidR="00AB1AFE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</w:tr>
      <w:tr w:rsidR="00AB0BB7" w:rsidRPr="003235CE" w:rsidTr="009121ED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7" w:rsidRPr="00AB0BB7" w:rsidRDefault="00AB0BB7" w:rsidP="00AB0BB7">
            <w:pPr>
              <w:tabs>
                <w:tab w:val="left" w:pos="2625"/>
              </w:tabs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AB0BB7">
              <w:rPr>
                <w:b/>
                <w:bCs/>
                <w:sz w:val="24"/>
                <w:szCs w:val="32"/>
              </w:rPr>
              <w:t>Результаты  ЕГЭ</w:t>
            </w:r>
          </w:p>
          <w:p w:rsidR="00AB0BB7" w:rsidRPr="00AB0BB7" w:rsidRDefault="00AB0BB7" w:rsidP="00AB0BB7">
            <w:pPr>
              <w:tabs>
                <w:tab w:val="left" w:pos="2625"/>
              </w:tabs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AB0BB7">
              <w:rPr>
                <w:b/>
                <w:bCs/>
                <w:sz w:val="24"/>
                <w:szCs w:val="32"/>
              </w:rPr>
              <w:t>(средний  балл)</w:t>
            </w:r>
          </w:p>
          <w:p w:rsidR="00AB0BB7" w:rsidRDefault="00AB0BB7" w:rsidP="00AB0BB7">
            <w:pPr>
              <w:tabs>
                <w:tab w:val="left" w:pos="262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079350" cy="2395060"/>
                  <wp:effectExtent l="19050" t="0" r="16650" b="5240"/>
                  <wp:docPr id="7" name="Объект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AB0BB7" w:rsidRDefault="00AB0BB7" w:rsidP="00AB0BB7">
            <w:pPr>
              <w:tabs>
                <w:tab w:val="left" w:pos="2625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AB0BB7" w:rsidRDefault="00AB0BB7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8665AA">
        <w:trPr>
          <w:trHeight w:val="655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  <w:r w:rsidR="008665AA">
              <w:rPr>
                <w:rFonts w:ascii="Times New Roman" w:hAnsi="Times New Roman" w:cs="Times New Roman"/>
                <w:sz w:val="22"/>
                <w:szCs w:val="22"/>
              </w:rPr>
              <w:t xml:space="preserve"> (профильный уровень)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98" w:rsidRPr="003235CE" w:rsidRDefault="00AB1AFE" w:rsidP="008665A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84AFA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  <w:r w:rsidR="002B468F" w:rsidRPr="00866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8665AA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  <w:r w:rsidR="002B468F" w:rsidRPr="008665A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AB0BB7" w:rsidRPr="003235CE" w:rsidTr="002C4F58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7" w:rsidRPr="00AB0BB7" w:rsidRDefault="00AB0BB7" w:rsidP="00AB0BB7">
            <w:pPr>
              <w:tabs>
                <w:tab w:val="left" w:pos="2625"/>
              </w:tabs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AB0BB7">
              <w:rPr>
                <w:b/>
                <w:bCs/>
                <w:sz w:val="24"/>
                <w:szCs w:val="32"/>
              </w:rPr>
              <w:t>Результаты  ЕГЭ</w:t>
            </w:r>
          </w:p>
          <w:p w:rsidR="00AB0BB7" w:rsidRPr="00AB0BB7" w:rsidRDefault="00AB0BB7" w:rsidP="00AB0BB7">
            <w:pPr>
              <w:tabs>
                <w:tab w:val="left" w:pos="2625"/>
              </w:tabs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AB0BB7">
              <w:rPr>
                <w:b/>
                <w:bCs/>
                <w:sz w:val="24"/>
                <w:szCs w:val="32"/>
              </w:rPr>
              <w:t>(средний  балл)</w:t>
            </w:r>
          </w:p>
          <w:p w:rsidR="00AB0BB7" w:rsidRDefault="00AB0BB7" w:rsidP="00AB0BB7">
            <w:pPr>
              <w:tabs>
                <w:tab w:val="left" w:pos="2625"/>
              </w:tabs>
              <w:spacing w:after="0" w:line="240" w:lineRule="auto"/>
              <w:jc w:val="center"/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654550" cy="2008800"/>
                  <wp:effectExtent l="19050" t="0" r="22350" b="0"/>
                  <wp:docPr id="1" name="Объект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AB0BB7" w:rsidRDefault="00AB0BB7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2B468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2B468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2B468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</w:t>
            </w:r>
            <w:r w:rsidRPr="003235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FE540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FE540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FE540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B84AFA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E54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552E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AB1AFE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B84AFA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FE54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552E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2,5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B0BB7" w:rsidRPr="003235CE" w:rsidTr="00433801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B7" w:rsidRPr="00616B93" w:rsidRDefault="00AB0BB7" w:rsidP="00AB0BB7">
            <w:pPr>
              <w:ind w:firstLine="708"/>
              <w:jc w:val="center"/>
              <w:rPr>
                <w:b/>
                <w:bCs/>
                <w:sz w:val="24"/>
                <w:szCs w:val="32"/>
              </w:rPr>
            </w:pPr>
            <w:r w:rsidRPr="00616B93">
              <w:rPr>
                <w:b/>
                <w:bCs/>
                <w:sz w:val="24"/>
                <w:szCs w:val="32"/>
              </w:rPr>
              <w:t>Аттестаты  особого  образца</w:t>
            </w:r>
          </w:p>
          <w:p w:rsidR="00AB0BB7" w:rsidRDefault="00AB0BB7" w:rsidP="00AB0B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915025" cy="2419350"/>
                  <wp:effectExtent l="19050" t="0" r="9525" b="0"/>
                  <wp:docPr id="21" name="Объект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AB0BB7" w:rsidRDefault="00AB0BB7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B84AFA" w:rsidP="008F01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305/47</w:t>
            </w:r>
            <w:r w:rsidR="00697797"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="005F6776" w:rsidRPr="006A61AE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r w:rsidR="00697797"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 заочных конкурсов)</w:t>
            </w:r>
          </w:p>
          <w:p w:rsidR="00697797" w:rsidRPr="006A61AE" w:rsidRDefault="00B84AFA" w:rsidP="006A61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+388/60</w:t>
            </w:r>
            <w:r w:rsidR="00697797"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="008F0117" w:rsidRPr="006A61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A61AE" w:rsidRPr="006A61A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8F0117"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 заочные конкурсы)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8665AA" w:rsidRDefault="00B84AFA" w:rsidP="008665A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233/36</w:t>
            </w:r>
            <w:r w:rsidR="008F0117" w:rsidRPr="008665AA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8665AA" w:rsidRDefault="00B84AFA" w:rsidP="008665A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5F6776" w:rsidRPr="008665A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665AA" w:rsidRPr="008665A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D3A4F" w:rsidRPr="008665AA">
              <w:rPr>
                <w:rFonts w:ascii="Times New Roman" w:hAnsi="Times New Roman" w:cs="Times New Roman"/>
                <w:sz w:val="22"/>
                <w:szCs w:val="22"/>
              </w:rPr>
              <w:t xml:space="preserve">% (в т.ч. </w:t>
            </w:r>
            <w:proofErr w:type="spellStart"/>
            <w:r w:rsidR="00AD3A4F" w:rsidRPr="008665AA">
              <w:rPr>
                <w:rFonts w:ascii="Times New Roman" w:hAnsi="Times New Roman" w:cs="Times New Roman"/>
                <w:sz w:val="22"/>
                <w:szCs w:val="22"/>
              </w:rPr>
              <w:t>УрФО</w:t>
            </w:r>
            <w:proofErr w:type="spellEnd"/>
            <w:r w:rsidR="00AD3A4F" w:rsidRPr="008665A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8665AA" w:rsidRDefault="00B84AFA" w:rsidP="00AD3A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776" w:rsidRPr="008665AA">
              <w:rPr>
                <w:rFonts w:ascii="Times New Roman" w:hAnsi="Times New Roman" w:cs="Times New Roman"/>
                <w:sz w:val="22"/>
                <w:szCs w:val="22"/>
              </w:rPr>
              <w:t>/1,1</w:t>
            </w:r>
            <w:r w:rsidR="00AD3A4F" w:rsidRPr="008665A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FE540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FE540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B84AFA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FE54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79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FE540F" w:rsidP="00B84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4AFA">
              <w:rPr>
                <w:rFonts w:ascii="Times New Roman" w:hAnsi="Times New Roman" w:cs="Times New Roman"/>
                <w:sz w:val="22"/>
                <w:szCs w:val="22"/>
              </w:rPr>
              <w:t>648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4A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B84AFA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</w:t>
            </w:r>
            <w:r w:rsidR="00FE54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FE54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E54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C0B98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F94A03" w:rsidRDefault="00F94A03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A03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B00245" w:rsidRPr="00F94A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F94A0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B00245" w:rsidRPr="00F94A0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6A61AE" w:rsidP="00B0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A5DF9" w:rsidRPr="006A61AE">
              <w:rPr>
                <w:rFonts w:ascii="Times New Roman" w:hAnsi="Times New Roman" w:cs="Times New Roman"/>
                <w:sz w:val="22"/>
                <w:szCs w:val="22"/>
              </w:rPr>
              <w:t>/93</w:t>
            </w:r>
            <w:r w:rsidR="00B00245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6A61AE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38/86</w:t>
            </w:r>
            <w:r w:rsidR="00B00245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FE540F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0C0B98" w:rsidRPr="006A61A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0C0B98" w:rsidRPr="006A61A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DF9" w:rsidRPr="006A61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C0B98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3/7</w:t>
            </w:r>
            <w:r w:rsidR="00B00245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E5E3C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C" w:rsidRPr="003235CE" w:rsidRDefault="000E5E3C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C" w:rsidRDefault="000E5E3C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128270</wp:posOffset>
                  </wp:positionV>
                  <wp:extent cx="2514600" cy="1905000"/>
                  <wp:effectExtent l="0" t="0" r="0" b="0"/>
                  <wp:wrapSquare wrapText="bothSides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p w:rsidR="000E5E3C" w:rsidRDefault="000E5E3C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5E3C" w:rsidRPr="003235CE" w:rsidRDefault="000E5E3C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C" w:rsidRDefault="000E5E3C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60631C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2137D1"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0B98" w:rsidRPr="006A61A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C0B98" w:rsidRPr="006A61A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77</w:t>
            </w:r>
            <w:r w:rsidR="000C0B98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F94A03" w:rsidRDefault="0060631C" w:rsidP="0021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13/30</w:t>
            </w:r>
            <w:r w:rsidR="00F94A03" w:rsidRPr="00F94A0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F94A03" w:rsidRDefault="0060631C" w:rsidP="00F94A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21/48</w:t>
            </w:r>
            <w:r w:rsidR="00F94A03" w:rsidRPr="00F94A0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DC21EA" w:rsidRPr="00F94A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E5E3C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C" w:rsidRPr="003235CE" w:rsidRDefault="000E5E3C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C" w:rsidRDefault="000E5E3C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573750" cy="1807200"/>
                  <wp:effectExtent l="19050" t="0" r="26700" b="25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0E5E3C" w:rsidRPr="003235CE" w:rsidRDefault="000E5E3C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C" w:rsidRDefault="000E5E3C" w:rsidP="0021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6A61AE" w:rsidP="00B0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8/18</w:t>
            </w:r>
            <w:r w:rsidR="00B00245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6A61AE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5/11</w:t>
            </w:r>
            <w:r w:rsidR="000A5DF9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C0B98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3235CE" w:rsidRDefault="000C0B98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8" w:rsidRPr="006A61AE" w:rsidRDefault="000A5DF9" w:rsidP="006A61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7/1</w:t>
            </w:r>
            <w:r w:rsidR="006A61AE" w:rsidRPr="006A61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C21C4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6A61AE" w:rsidRDefault="006A61AE" w:rsidP="006A61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A5DF9" w:rsidRPr="006A61A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A5DF9" w:rsidRPr="006A61A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235CE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</w:t>
            </w:r>
            <w:r w:rsidRPr="003235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6A61AE" w:rsidRDefault="006A61AE" w:rsidP="000A5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/98</w:t>
            </w:r>
            <w:r w:rsidR="000A5DF9" w:rsidRPr="006A61AE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552E1C" w:rsidRDefault="006A61AE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1A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0A5DF9" w:rsidRPr="006A61AE">
              <w:rPr>
                <w:rFonts w:ascii="Times New Roman" w:hAnsi="Times New Roman" w:cs="Times New Roman"/>
                <w:sz w:val="22"/>
                <w:szCs w:val="22"/>
              </w:rPr>
              <w:t>/86%</w:t>
            </w:r>
          </w:p>
        </w:tc>
      </w:tr>
      <w:tr w:rsidR="000A5DF9" w:rsidRPr="00CB4516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CB4516" w:rsidRDefault="000A5DF9" w:rsidP="000C0B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Par326"/>
            <w:bookmarkEnd w:id="2"/>
            <w:r w:rsidRPr="00CB4516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CB4516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516">
              <w:rPr>
                <w:rFonts w:ascii="Times New Roman" w:hAnsi="Times New Roman" w:cs="Times New Roman"/>
                <w:b/>
                <w:sz w:val="22"/>
                <w:szCs w:val="22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CB4516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60631C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  <w:r w:rsidR="000A5D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DF9" w:rsidRPr="003235CE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21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21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21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21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21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213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60631C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</w:t>
            </w:r>
            <w:r w:rsidR="000A5D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DF9" w:rsidRPr="003235CE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0A5DF9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  <w:r w:rsidR="000A5DF9" w:rsidRPr="003235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A5DF9" w:rsidRPr="003235CE" w:rsidTr="000C0B9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0A5DF9" w:rsidP="000C0B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5CE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3235CE" w:rsidRDefault="0060631C" w:rsidP="000C0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  <w:r w:rsidR="000A5D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DF9" w:rsidRPr="003235CE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</w:tbl>
    <w:p w:rsidR="000C0B98" w:rsidRPr="003235CE" w:rsidRDefault="000C0B98" w:rsidP="000C0B98">
      <w:pPr>
        <w:rPr>
          <w:rFonts w:ascii="Times New Roman" w:hAnsi="Times New Roman" w:cs="Times New Roman"/>
        </w:rPr>
      </w:pPr>
    </w:p>
    <w:p w:rsidR="000C0B98" w:rsidRDefault="000C0B98" w:rsidP="003624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F3D1A" w:rsidRPr="00CB4516" w:rsidRDefault="00CB4516" w:rsidP="00CB45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</w:rPr>
      </w:pPr>
      <w:r w:rsidRPr="00CB4516">
        <w:rPr>
          <w:rFonts w:ascii="Times New Roman" w:eastAsia="Times New Roman" w:hAnsi="Times New Roman" w:cs="Times New Roman"/>
          <w:sz w:val="24"/>
          <w:szCs w:val="28"/>
        </w:rPr>
        <w:t xml:space="preserve">Директор школы: </w:t>
      </w:r>
      <w:r w:rsidRPr="00CB4516">
        <w:rPr>
          <w:rFonts w:ascii="Times New Roman" w:eastAsia="Times New Roman" w:hAnsi="Times New Roman" w:cs="Times New Roman"/>
          <w:sz w:val="24"/>
          <w:szCs w:val="28"/>
        </w:rPr>
        <w:tab/>
      </w:r>
      <w:r w:rsidRPr="00CB4516">
        <w:rPr>
          <w:rFonts w:ascii="Times New Roman" w:eastAsia="Times New Roman" w:hAnsi="Times New Roman" w:cs="Times New Roman"/>
          <w:sz w:val="24"/>
          <w:szCs w:val="28"/>
        </w:rPr>
        <w:tab/>
      </w:r>
      <w:r w:rsidRPr="00CB4516">
        <w:rPr>
          <w:rFonts w:ascii="Times New Roman" w:eastAsia="Times New Roman" w:hAnsi="Times New Roman" w:cs="Times New Roman"/>
          <w:sz w:val="24"/>
          <w:szCs w:val="28"/>
        </w:rPr>
        <w:tab/>
      </w:r>
      <w:r w:rsidRPr="00CB4516">
        <w:rPr>
          <w:rFonts w:ascii="Times New Roman" w:eastAsia="Times New Roman" w:hAnsi="Times New Roman" w:cs="Times New Roman"/>
          <w:sz w:val="24"/>
          <w:szCs w:val="28"/>
        </w:rPr>
        <w:tab/>
      </w:r>
      <w:r w:rsidRPr="00CB4516">
        <w:rPr>
          <w:rFonts w:ascii="Times New Roman" w:eastAsia="Times New Roman" w:hAnsi="Times New Roman" w:cs="Times New Roman"/>
          <w:sz w:val="24"/>
          <w:szCs w:val="28"/>
        </w:rPr>
        <w:tab/>
      </w:r>
      <w:r w:rsidRPr="00CB4516">
        <w:rPr>
          <w:rFonts w:ascii="Times New Roman" w:eastAsia="Times New Roman" w:hAnsi="Times New Roman" w:cs="Times New Roman"/>
          <w:sz w:val="24"/>
          <w:szCs w:val="28"/>
        </w:rPr>
        <w:tab/>
      </w:r>
      <w:r w:rsidRPr="00CB4516">
        <w:rPr>
          <w:rFonts w:ascii="Times New Roman" w:eastAsia="Times New Roman" w:hAnsi="Times New Roman" w:cs="Times New Roman"/>
          <w:sz w:val="24"/>
          <w:szCs w:val="28"/>
        </w:rPr>
        <w:tab/>
        <w:t>А.А.Лотов</w:t>
      </w:r>
    </w:p>
    <w:sectPr w:rsidR="003F3D1A" w:rsidRPr="00CB4516" w:rsidSect="004043ED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7837"/>
    <w:rsid w:val="000663CD"/>
    <w:rsid w:val="000A5DF9"/>
    <w:rsid w:val="000C0B98"/>
    <w:rsid w:val="000E5E3C"/>
    <w:rsid w:val="000F6EBC"/>
    <w:rsid w:val="0011155F"/>
    <w:rsid w:val="001C3C1D"/>
    <w:rsid w:val="002137D1"/>
    <w:rsid w:val="0024274D"/>
    <w:rsid w:val="002B468F"/>
    <w:rsid w:val="002E07AA"/>
    <w:rsid w:val="003235CE"/>
    <w:rsid w:val="00350DD8"/>
    <w:rsid w:val="003624B2"/>
    <w:rsid w:val="003807DA"/>
    <w:rsid w:val="00380C8E"/>
    <w:rsid w:val="0038234E"/>
    <w:rsid w:val="00382F4A"/>
    <w:rsid w:val="003F3D1A"/>
    <w:rsid w:val="004043ED"/>
    <w:rsid w:val="004B0A97"/>
    <w:rsid w:val="004B2401"/>
    <w:rsid w:val="004C0122"/>
    <w:rsid w:val="00501AF4"/>
    <w:rsid w:val="00527FC3"/>
    <w:rsid w:val="00552E1C"/>
    <w:rsid w:val="00560E63"/>
    <w:rsid w:val="00585605"/>
    <w:rsid w:val="005C6273"/>
    <w:rsid w:val="005D6E13"/>
    <w:rsid w:val="005E037E"/>
    <w:rsid w:val="005E4A40"/>
    <w:rsid w:val="005F6776"/>
    <w:rsid w:val="0060631C"/>
    <w:rsid w:val="00655574"/>
    <w:rsid w:val="00673060"/>
    <w:rsid w:val="0069021E"/>
    <w:rsid w:val="00697797"/>
    <w:rsid w:val="006A61AE"/>
    <w:rsid w:val="006D3165"/>
    <w:rsid w:val="006E5978"/>
    <w:rsid w:val="007217E3"/>
    <w:rsid w:val="00753F4A"/>
    <w:rsid w:val="0077373B"/>
    <w:rsid w:val="007C3DA3"/>
    <w:rsid w:val="007C417D"/>
    <w:rsid w:val="007D4E33"/>
    <w:rsid w:val="00817007"/>
    <w:rsid w:val="008665AA"/>
    <w:rsid w:val="00881E60"/>
    <w:rsid w:val="008C6CC2"/>
    <w:rsid w:val="008D6592"/>
    <w:rsid w:val="008F0117"/>
    <w:rsid w:val="009056B8"/>
    <w:rsid w:val="00923D28"/>
    <w:rsid w:val="009426D7"/>
    <w:rsid w:val="009C04E4"/>
    <w:rsid w:val="00A21FC1"/>
    <w:rsid w:val="00A43DBC"/>
    <w:rsid w:val="00A752F2"/>
    <w:rsid w:val="00AB0BB7"/>
    <w:rsid w:val="00AB1AFE"/>
    <w:rsid w:val="00AC13A9"/>
    <w:rsid w:val="00AD3A4F"/>
    <w:rsid w:val="00B00245"/>
    <w:rsid w:val="00B3175A"/>
    <w:rsid w:val="00B34901"/>
    <w:rsid w:val="00B36B26"/>
    <w:rsid w:val="00B76897"/>
    <w:rsid w:val="00B8124E"/>
    <w:rsid w:val="00B84AFA"/>
    <w:rsid w:val="00B900C3"/>
    <w:rsid w:val="00BA36A5"/>
    <w:rsid w:val="00BF55AB"/>
    <w:rsid w:val="00C129F0"/>
    <w:rsid w:val="00C320D9"/>
    <w:rsid w:val="00C73DD7"/>
    <w:rsid w:val="00CB4516"/>
    <w:rsid w:val="00CE7837"/>
    <w:rsid w:val="00D56257"/>
    <w:rsid w:val="00DB48A2"/>
    <w:rsid w:val="00DC21EA"/>
    <w:rsid w:val="00E64ECE"/>
    <w:rsid w:val="00EA4A1E"/>
    <w:rsid w:val="00EC7D55"/>
    <w:rsid w:val="00EE6B36"/>
    <w:rsid w:val="00F35E21"/>
    <w:rsid w:val="00F6364F"/>
    <w:rsid w:val="00F83C3E"/>
    <w:rsid w:val="00F94A03"/>
    <w:rsid w:val="00FC21C4"/>
    <w:rsid w:val="00FE540F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F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E3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FF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F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E3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FF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2737115054309062E-2"/>
          <c:y val="4.6628323957094632E-2"/>
          <c:w val="0.66965112589442799"/>
          <c:h val="0.81695864622369174"/>
        </c:manualLayout>
      </c:layout>
      <c:barChart>
        <c:barDir val="col"/>
        <c:grouping val="clustered"/>
        <c:ser>
          <c:idx val="1"/>
          <c:order val="0"/>
          <c:tx>
            <c:strRef>
              <c:f>Лист1!$B$1</c:f>
              <c:strCache>
                <c:ptCount val="1"/>
                <c:pt idx="0">
                  <c:v>Динамика  численности  учащихся  с  2007 - 2013, 2014 (прогноз) год.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2007 - 2008</c:v>
                </c:pt>
                <c:pt idx="1">
                  <c:v>2008 - 2009</c:v>
                </c:pt>
                <c:pt idx="2">
                  <c:v>2009 - 2010</c:v>
                </c:pt>
                <c:pt idx="3">
                  <c:v>2010 - 2011</c:v>
                </c:pt>
                <c:pt idx="4">
                  <c:v>2011-2012</c:v>
                </c:pt>
                <c:pt idx="5">
                  <c:v>2012-2013</c:v>
                </c:pt>
                <c:pt idx="6">
                  <c:v>2013-2014</c:v>
                </c:pt>
                <c:pt idx="7">
                  <c:v>2014-2015</c:v>
                </c:pt>
                <c:pt idx="8">
                  <c:v>2015-2016</c:v>
                </c:pt>
                <c:pt idx="9">
                  <c:v>2016-2017, прогноз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513</c:v>
                </c:pt>
                <c:pt idx="1">
                  <c:v>485</c:v>
                </c:pt>
                <c:pt idx="2">
                  <c:v>503</c:v>
                </c:pt>
                <c:pt idx="3">
                  <c:v>496</c:v>
                </c:pt>
                <c:pt idx="4">
                  <c:v>491</c:v>
                </c:pt>
                <c:pt idx="5">
                  <c:v>511</c:v>
                </c:pt>
                <c:pt idx="6">
                  <c:v>524</c:v>
                </c:pt>
                <c:pt idx="7">
                  <c:v>565</c:v>
                </c:pt>
                <c:pt idx="8">
                  <c:v>648</c:v>
                </c:pt>
                <c:pt idx="9">
                  <c:v>675</c:v>
                </c:pt>
              </c:numCache>
            </c:numRef>
          </c:val>
        </c:ser>
        <c:axId val="89884544"/>
        <c:axId val="89886080"/>
      </c:barChart>
      <c:catAx>
        <c:axId val="89884544"/>
        <c:scaling>
          <c:orientation val="minMax"/>
        </c:scaling>
        <c:axPos val="b"/>
        <c:numFmt formatCode="General" sourceLinked="1"/>
        <c:majorTickMark val="none"/>
        <c:tickLblPos val="nextTo"/>
        <c:crossAx val="89886080"/>
        <c:crosses val="autoZero"/>
        <c:auto val="1"/>
        <c:lblAlgn val="ctr"/>
        <c:lblOffset val="100"/>
      </c:catAx>
      <c:valAx>
        <c:axId val="898860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88454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640681409076732E-2"/>
          <c:y val="3.9901238760249452E-2"/>
          <c:w val="0.65803791055206151"/>
          <c:h val="0.854147759831907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 успеваемость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2007 - 2008</c:v>
                </c:pt>
                <c:pt idx="1">
                  <c:v>2008 - 2009</c:v>
                </c:pt>
                <c:pt idx="2">
                  <c:v>2009 - 2010</c:v>
                </c:pt>
                <c:pt idx="3">
                  <c:v>2010 - 2011</c:v>
                </c:pt>
                <c:pt idx="4">
                  <c:v>2011-2012</c:v>
                </c:pt>
                <c:pt idx="5">
                  <c:v>2012-2013</c:v>
                </c:pt>
                <c:pt idx="6">
                  <c:v>2013-2014</c:v>
                </c:pt>
                <c:pt idx="7">
                  <c:v>2014-2015</c:v>
                </c:pt>
                <c:pt idx="8">
                  <c:v>2015-2016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99.7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качественная  успреваемость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2007 - 2008</c:v>
                </c:pt>
                <c:pt idx="1">
                  <c:v>2008 - 2009</c:v>
                </c:pt>
                <c:pt idx="2">
                  <c:v>2009 - 2010</c:v>
                </c:pt>
                <c:pt idx="3">
                  <c:v>2010 - 2011</c:v>
                </c:pt>
                <c:pt idx="4">
                  <c:v>2011-2012</c:v>
                </c:pt>
                <c:pt idx="5">
                  <c:v>2012-2013</c:v>
                </c:pt>
                <c:pt idx="6">
                  <c:v>2013-2014</c:v>
                </c:pt>
                <c:pt idx="7">
                  <c:v>2014-2015</c:v>
                </c:pt>
                <c:pt idx="8">
                  <c:v>2015-2016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38.9</c:v>
                </c:pt>
                <c:pt idx="1">
                  <c:v>41.9</c:v>
                </c:pt>
                <c:pt idx="2">
                  <c:v>47.3</c:v>
                </c:pt>
                <c:pt idx="3">
                  <c:v>40.700000000000003</c:v>
                </c:pt>
                <c:pt idx="4">
                  <c:v>44</c:v>
                </c:pt>
                <c:pt idx="5">
                  <c:v>46.2</c:v>
                </c:pt>
                <c:pt idx="6">
                  <c:v>47.3</c:v>
                </c:pt>
                <c:pt idx="7">
                  <c:v>48.2</c:v>
                </c:pt>
                <c:pt idx="8">
                  <c:v>50.5</c:v>
                </c:pt>
              </c:numCache>
            </c:numRef>
          </c:val>
        </c:ser>
        <c:axId val="90243840"/>
        <c:axId val="91029888"/>
      </c:barChart>
      <c:catAx>
        <c:axId val="902438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1029888"/>
        <c:crosses val="autoZero"/>
        <c:auto val="1"/>
        <c:lblAlgn val="ctr"/>
        <c:lblOffset val="100"/>
      </c:catAx>
      <c:valAx>
        <c:axId val="9102988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0243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61163522012589"/>
          <c:y val="0.30664495650070689"/>
          <c:w val="0.1993721174004193"/>
          <c:h val="0.40187462129807189"/>
        </c:manualLayout>
      </c:layout>
    </c:legend>
    <c:plotVisOnly val="1"/>
    <c:dispBlanksAs val="gap"/>
  </c:chart>
  <c:txPr>
    <a:bodyPr/>
    <a:lstStyle/>
    <a:p>
      <a:pPr>
        <a:defRPr sz="7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271607984406308"/>
          <c:y val="8.8445800940268743E-2"/>
        </c:manualLayout>
      </c:layout>
      <c:spPr>
        <a:noFill/>
        <a:ln w="2538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2760180995475144E-2"/>
          <c:y val="0.31707317073170732"/>
          <c:w val="0.78459670852969476"/>
          <c:h val="0.4763504880879811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 язык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2007 - 2008</c:v>
                </c:pt>
                <c:pt idx="1">
                  <c:v>2008 - 2009</c:v>
                </c:pt>
                <c:pt idx="2">
                  <c:v>2009 - 2010</c:v>
                </c:pt>
                <c:pt idx="3">
                  <c:v>2010 - 2011</c:v>
                </c:pt>
                <c:pt idx="4">
                  <c:v>2011 - 2012</c:v>
                </c:pt>
                <c:pt idx="5">
                  <c:v>2012 - 2013</c:v>
                </c:pt>
                <c:pt idx="6">
                  <c:v>2013 - 2014</c:v>
                </c:pt>
                <c:pt idx="7">
                  <c:v>2014 - 2015</c:v>
                </c:pt>
                <c:pt idx="8">
                  <c:v>2015-2016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56</c:v>
                </c:pt>
                <c:pt idx="1">
                  <c:v>59</c:v>
                </c:pt>
                <c:pt idx="2">
                  <c:v>60.25</c:v>
                </c:pt>
                <c:pt idx="3">
                  <c:v>67</c:v>
                </c:pt>
                <c:pt idx="4">
                  <c:v>63.8</c:v>
                </c:pt>
                <c:pt idx="5">
                  <c:v>67.599999999999994</c:v>
                </c:pt>
                <c:pt idx="6">
                  <c:v>68</c:v>
                </c:pt>
                <c:pt idx="7">
                  <c:v>67</c:v>
                </c:pt>
                <c:pt idx="8">
                  <c:v>69</c:v>
                </c:pt>
              </c:numCache>
            </c:numRef>
          </c:val>
        </c:ser>
        <c:axId val="91801856"/>
        <c:axId val="91880448"/>
      </c:barChart>
      <c:catAx>
        <c:axId val="918018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880448"/>
        <c:crosses val="autoZero"/>
        <c:auto val="1"/>
        <c:lblAlgn val="ctr"/>
        <c:lblOffset val="100"/>
      </c:catAx>
      <c:valAx>
        <c:axId val="9188044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8018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5294135176334401"/>
          <c:y val="2.1621823338433405E-2"/>
        </c:manualLayout>
      </c:layout>
      <c:spPr>
        <a:noFill/>
        <a:ln w="25395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2007 - 2008</c:v>
                </c:pt>
                <c:pt idx="1">
                  <c:v>2008 - 2009</c:v>
                </c:pt>
                <c:pt idx="2">
                  <c:v>2009 - 2010</c:v>
                </c:pt>
                <c:pt idx="3">
                  <c:v>2010 - 2011</c:v>
                </c:pt>
                <c:pt idx="4">
                  <c:v>2011 - 2012</c:v>
                </c:pt>
                <c:pt idx="5">
                  <c:v>2012 - 2013</c:v>
                </c:pt>
                <c:pt idx="6">
                  <c:v>2013 - 2014</c:v>
                </c:pt>
                <c:pt idx="7">
                  <c:v>2014-2015</c:v>
                </c:pt>
                <c:pt idx="8">
                  <c:v>2015-2016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42.5</c:v>
                </c:pt>
                <c:pt idx="1">
                  <c:v>52</c:v>
                </c:pt>
                <c:pt idx="2">
                  <c:v>54</c:v>
                </c:pt>
                <c:pt idx="3">
                  <c:v>57</c:v>
                </c:pt>
                <c:pt idx="4">
                  <c:v>47.5</c:v>
                </c:pt>
                <c:pt idx="5">
                  <c:v>54.4</c:v>
                </c:pt>
                <c:pt idx="6">
                  <c:v>44.18</c:v>
                </c:pt>
                <c:pt idx="7">
                  <c:v>41.6</c:v>
                </c:pt>
                <c:pt idx="8">
                  <c:v>42.9</c:v>
                </c:pt>
              </c:numCache>
            </c:numRef>
          </c:val>
        </c:ser>
        <c:axId val="95945856"/>
        <c:axId val="95947776"/>
      </c:barChart>
      <c:catAx>
        <c:axId val="959458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47776"/>
        <c:crosses val="autoZero"/>
        <c:auto val="1"/>
        <c:lblAlgn val="ctr"/>
        <c:lblOffset val="100"/>
      </c:catAx>
      <c:valAx>
        <c:axId val="959477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458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401667786695754E-2"/>
          <c:y val="5.7860995721991514E-2"/>
          <c:w val="0.77689020756463434"/>
          <c:h val="0.757344741356149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 класс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2007 - 2008</c:v>
                </c:pt>
                <c:pt idx="1">
                  <c:v>2008 - 2009</c:v>
                </c:pt>
                <c:pt idx="2">
                  <c:v>2009 - 2010</c:v>
                </c:pt>
                <c:pt idx="3">
                  <c:v>2010 - 2011</c:v>
                </c:pt>
                <c:pt idx="4">
                  <c:v>2011-2012</c:v>
                </c:pt>
                <c:pt idx="5">
                  <c:v>2012-2013</c:v>
                </c:pt>
                <c:pt idx="6">
                  <c:v>2013-2014</c:v>
                </c:pt>
                <c:pt idx="7">
                  <c:v>2014-2015</c:v>
                </c:pt>
                <c:pt idx="8">
                  <c:v>2015-2016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7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класс (золотая  медаль)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2007 - 2008</c:v>
                </c:pt>
                <c:pt idx="1">
                  <c:v>2008 - 2009</c:v>
                </c:pt>
                <c:pt idx="2">
                  <c:v>2009 - 2010</c:v>
                </c:pt>
                <c:pt idx="3">
                  <c:v>2010 - 2011</c:v>
                </c:pt>
                <c:pt idx="4">
                  <c:v>2011-2012</c:v>
                </c:pt>
                <c:pt idx="5">
                  <c:v>2012-2013</c:v>
                </c:pt>
                <c:pt idx="6">
                  <c:v>2013-2014</c:v>
                </c:pt>
                <c:pt idx="7">
                  <c:v>2014-2015</c:v>
                </c:pt>
                <c:pt idx="8">
                  <c:v>2015-2016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класс (серебрянная  медаль)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2007 - 2008</c:v>
                </c:pt>
                <c:pt idx="1">
                  <c:v>2008 - 2009</c:v>
                </c:pt>
                <c:pt idx="2">
                  <c:v>2009 - 2010</c:v>
                </c:pt>
                <c:pt idx="3">
                  <c:v>2010 - 2011</c:v>
                </c:pt>
                <c:pt idx="4">
                  <c:v>2011-2012</c:v>
                </c:pt>
                <c:pt idx="5">
                  <c:v>2012-2013</c:v>
                </c:pt>
                <c:pt idx="6">
                  <c:v>2013-2014</c:v>
                </c:pt>
                <c:pt idx="7">
                  <c:v>2014-2015</c:v>
                </c:pt>
                <c:pt idx="8">
                  <c:v>2015-2016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axId val="97019392"/>
        <c:axId val="101472128"/>
      </c:barChart>
      <c:catAx>
        <c:axId val="97019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1472128"/>
        <c:crosses val="autoZero"/>
        <c:auto val="1"/>
        <c:lblAlgn val="ctr"/>
        <c:lblOffset val="100"/>
      </c:catAx>
      <c:valAx>
        <c:axId val="10147212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8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01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23115709570128"/>
          <c:y val="0.17981565296463925"/>
          <c:w val="0.15753390729540453"/>
          <c:h val="0.72286564573129142"/>
        </c:manualLayout>
      </c:layout>
      <c:txPr>
        <a:bodyPr/>
        <a:lstStyle/>
        <a:p>
          <a:pPr>
            <a:defRPr sz="90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98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высшее непедагогическоее </c:v>
                </c:pt>
                <c:pt idx="2">
                  <c:v>среднее педагогическое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444683050982422"/>
          <c:y val="0.17492493438320234"/>
          <c:w val="0.3455531677809619"/>
          <c:h val="0.82507506561679866"/>
        </c:manualLayout>
      </c:layout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21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639147379304986"/>
          <c:y val="0.16483326426301967"/>
          <c:w val="0.30330549590392164"/>
          <c:h val="0.76138582677165367"/>
        </c:manualLayout>
      </c:layout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директор</cp:lastModifiedBy>
  <cp:revision>3</cp:revision>
  <dcterms:created xsi:type="dcterms:W3CDTF">2017-02-19T19:25:00Z</dcterms:created>
  <dcterms:modified xsi:type="dcterms:W3CDTF">2017-02-19T19:53:00Z</dcterms:modified>
</cp:coreProperties>
</file>